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H-W Lab (individual/not formal) / 45pts / Due Monday 12/9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 on Hardy-Weinberg (15pts.)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both equations for H-W.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which equation is used to determine allele frequency vs. genotypic frequency.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the PURPOSE of Hardy-Weinberg.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population conditions must be met for a population to remain in H-W equilibrium?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Cases 1, 2, 3, 4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case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factor simulated</w:t>
      </w:r>
      <w:r w:rsidDel="00000000" w:rsidR="00000000" w:rsidRPr="00000000">
        <w:rPr>
          <w:sz w:val="24"/>
          <w:szCs w:val="24"/>
          <w:rtl w:val="0"/>
        </w:rPr>
        <w:t xml:space="preserve">. Define all necessary terms (10pts.)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Data: Class allele frequencies, Class genotype frequencies (8pts.)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 for Case 1, 2, 4 (10pts.)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is neat and data tables are recreated into the report. (2pts.)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or share.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